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6F" w:rsidRPr="005251FA" w:rsidRDefault="00E27BF9" w:rsidP="005251FA">
      <w:pPr>
        <w:pStyle w:val="Heading1"/>
        <w:ind w:left="0" w:hanging="2"/>
        <w:rPr>
          <w:rFonts w:asciiTheme="majorHAnsi" w:hAnsiTheme="majorHAnsi"/>
          <w:sz w:val="20"/>
          <w:szCs w:val="20"/>
        </w:rPr>
      </w:pPr>
      <w:r w:rsidRPr="005251FA">
        <w:rPr>
          <w:rFonts w:asciiTheme="majorHAnsi" w:hAnsiTheme="majorHAnsi"/>
          <w:color w:val="000000"/>
          <w:sz w:val="20"/>
          <w:szCs w:val="20"/>
          <w:highlight w:val="white"/>
        </w:rPr>
        <w:t>NCU/FRM/3.5/RDIL/006</w:t>
      </w:r>
    </w:p>
    <w:tbl>
      <w:tblPr>
        <w:tblStyle w:val="a4"/>
        <w:tblW w:w="10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52"/>
        <w:gridCol w:w="1800"/>
      </w:tblGrid>
      <w:tr w:rsidR="00D0756F">
        <w:trPr>
          <w:cantSplit/>
          <w:trHeight w:val="533"/>
        </w:trPr>
        <w:tc>
          <w:tcPr>
            <w:tcW w:w="1368" w:type="dxa"/>
            <w:vMerge w:val="restart"/>
            <w:vAlign w:val="center"/>
          </w:tcPr>
          <w:p w:rsidR="00D0756F" w:rsidRDefault="00E27BF9">
            <w:pPr>
              <w:ind w:left="-2" w:firstLine="0"/>
              <w:jc w:val="center"/>
              <w:rPr>
                <w:rFonts w:ascii="Monda" w:eastAsia="Monda" w:hAnsi="Monda" w:cs="Monda"/>
                <w:sz w:val="2"/>
                <w:szCs w:val="2"/>
              </w:rPr>
            </w:pPr>
            <w:r>
              <w:rPr>
                <w:rFonts w:ascii="Monda" w:eastAsia="Monda" w:hAnsi="Monda" w:cs="Monda"/>
                <w:b/>
                <w:noProof/>
                <w:sz w:val="2"/>
                <w:szCs w:val="2"/>
                <w:lang w:val="en-IN" w:eastAsia="en-IN"/>
              </w:rPr>
              <w:drawing>
                <wp:inline distT="0" distB="0" distL="114300" distR="114300">
                  <wp:extent cx="732790" cy="518795"/>
                  <wp:effectExtent l="0" t="0" r="0" b="0"/>
                  <wp:docPr id="1029" name="image1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1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vMerge w:val="restart"/>
            <w:vAlign w:val="center"/>
          </w:tcPr>
          <w:p w:rsidR="00D0756F" w:rsidRDefault="00E27BF9">
            <w:pPr>
              <w:tabs>
                <w:tab w:val="left" w:pos="180"/>
                <w:tab w:val="left" w:pos="540"/>
              </w:tabs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CALCULATION OF CONSULTANCY PROJECT COST</w:t>
            </w:r>
          </w:p>
        </w:tc>
        <w:tc>
          <w:tcPr>
            <w:tcW w:w="1800" w:type="dxa"/>
          </w:tcPr>
          <w:p w:rsidR="00D0756F" w:rsidRDefault="00D0756F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D0756F" w:rsidRDefault="00E27BF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Date:</w:t>
            </w:r>
          </w:p>
          <w:p w:rsidR="00D0756F" w:rsidRDefault="00D0756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D0756F">
        <w:trPr>
          <w:cantSplit/>
          <w:trHeight w:val="333"/>
        </w:trPr>
        <w:tc>
          <w:tcPr>
            <w:tcW w:w="1368" w:type="dxa"/>
            <w:vMerge/>
            <w:vAlign w:val="center"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452" w:type="dxa"/>
            <w:vMerge/>
            <w:vAlign w:val="center"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0756F" w:rsidRDefault="00E27BF9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Sheet 1 of 1</w:t>
            </w:r>
          </w:p>
        </w:tc>
      </w:tr>
    </w:tbl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Title of Consultancy/CEP: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 </w:t>
      </w:r>
      <w:r>
        <w:rPr>
          <w:rFonts w:ascii="Arial" w:eastAsia="Arial" w:hAnsi="Arial" w:cs="Arial"/>
          <w:b/>
          <w:sz w:val="20"/>
          <w:szCs w:val="20"/>
        </w:rPr>
        <w:t>Client Name</w:t>
      </w:r>
      <w:r>
        <w:rPr>
          <w:rFonts w:ascii="Arial" w:eastAsia="Arial" w:hAnsi="Arial" w:cs="Arial"/>
          <w:sz w:val="20"/>
          <w:szCs w:val="20"/>
        </w:rPr>
        <w:t>: _______________________________________</w:t>
      </w:r>
      <w:r w:rsidR="007C0374">
        <w:rPr>
          <w:rFonts w:ascii="Arial" w:eastAsia="Arial" w:hAnsi="Arial" w:cs="Arial"/>
          <w:sz w:val="20"/>
          <w:szCs w:val="20"/>
        </w:rPr>
        <w:t>______</w:t>
      </w:r>
    </w:p>
    <w:p w:rsidR="00D0756F" w:rsidRDefault="00D0756F">
      <w:pPr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DETAILS OF THE PRINCIPAL CONSULTANT (PC) AND CO-CONSULTANT(s) (Co-C)</w:t>
      </w:r>
    </w:p>
    <w:tbl>
      <w:tblPr>
        <w:tblStyle w:val="a5"/>
        <w:tblW w:w="1059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760"/>
        <w:gridCol w:w="1440"/>
        <w:gridCol w:w="1440"/>
        <w:gridCol w:w="1320"/>
        <w:gridCol w:w="1320"/>
        <w:gridCol w:w="1485"/>
      </w:tblGrid>
      <w:tr w:rsidR="00D0756F">
        <w:trPr>
          <w:cantSplit/>
        </w:trPr>
        <w:tc>
          <w:tcPr>
            <w:tcW w:w="825" w:type="dxa"/>
            <w:vMerge w:val="restart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Employee's Name and ID</w:t>
            </w:r>
          </w:p>
        </w:tc>
        <w:tc>
          <w:tcPr>
            <w:tcW w:w="1440" w:type="dxa"/>
            <w:vMerge w:val="restart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440" w:type="dxa"/>
            <w:vMerge w:val="restart"/>
          </w:tcPr>
          <w:p w:rsidR="00D0756F" w:rsidRDefault="00AD511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Dept.</w:t>
            </w:r>
            <w:r w:rsidR="00E27BF9">
              <w:rPr>
                <w:rFonts w:ascii="Arial" w:eastAsia="Arial" w:hAnsi="Arial" w:cs="Arial"/>
                <w:sz w:val="20"/>
                <w:szCs w:val="20"/>
              </w:rPr>
              <w:t>/School</w:t>
            </w:r>
          </w:p>
        </w:tc>
        <w:tc>
          <w:tcPr>
            <w:tcW w:w="264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Actual Load* of this Consultancy (in days) in each Financial Year</w:t>
            </w:r>
          </w:p>
        </w:tc>
        <w:tc>
          <w:tcPr>
            <w:tcW w:w="1485" w:type="dxa"/>
            <w:vMerge w:val="restart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</w:tr>
      <w:tr w:rsidR="00D0756F">
        <w:trPr>
          <w:cantSplit/>
        </w:trPr>
        <w:tc>
          <w:tcPr>
            <w:tcW w:w="82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0756F" w:rsidRDefault="00E27BF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FY</w:t>
            </w:r>
          </w:p>
        </w:tc>
        <w:tc>
          <w:tcPr>
            <w:tcW w:w="1320" w:type="dxa"/>
          </w:tcPr>
          <w:p w:rsidR="00D0756F" w:rsidRDefault="00E27BF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Next FY</w:t>
            </w:r>
          </w:p>
        </w:tc>
        <w:tc>
          <w:tcPr>
            <w:tcW w:w="148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825" w:type="dxa"/>
            <w:vAlign w:val="center"/>
          </w:tcPr>
          <w:p w:rsidR="00D0756F" w:rsidRDefault="00E27BF9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PC</w:t>
            </w:r>
          </w:p>
        </w:tc>
        <w:tc>
          <w:tcPr>
            <w:tcW w:w="276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825" w:type="dxa"/>
            <w:vAlign w:val="center"/>
          </w:tcPr>
          <w:p w:rsidR="00D0756F" w:rsidRDefault="00E27BF9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</w:t>
            </w:r>
          </w:p>
        </w:tc>
        <w:tc>
          <w:tcPr>
            <w:tcW w:w="276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825" w:type="dxa"/>
            <w:vAlign w:val="center"/>
          </w:tcPr>
          <w:p w:rsidR="00D0756F" w:rsidRDefault="00E27BF9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</w:t>
            </w:r>
          </w:p>
        </w:tc>
        <w:tc>
          <w:tcPr>
            <w:tcW w:w="276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D0756F" w:rsidRDefault="00D0756F">
            <w:pPr>
              <w:spacing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*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 As per Guidelines for undertaking Consultancy Jobs, total load should not exceed 52 days per financial year.</w:t>
      </w:r>
    </w:p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ii) The minimum time to be spent on any consultancy will be linked to the value of the job as follows:</w:t>
      </w:r>
    </w:p>
    <w:tbl>
      <w:tblPr>
        <w:tblStyle w:val="a6"/>
        <w:tblW w:w="6960" w:type="dxa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380"/>
        <w:gridCol w:w="1380"/>
      </w:tblGrid>
      <w:tr w:rsidR="00D0756F">
        <w:trPr>
          <w:cantSplit/>
        </w:trPr>
        <w:tc>
          <w:tcPr>
            <w:tcW w:w="4200" w:type="dxa"/>
            <w:vMerge w:val="restart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Consultancy Value (excluding Service Tax)</w:t>
            </w:r>
          </w:p>
        </w:tc>
        <w:tc>
          <w:tcPr>
            <w:tcW w:w="2760" w:type="dxa"/>
            <w:gridSpan w:val="2"/>
          </w:tcPr>
          <w:p w:rsidR="00D0756F" w:rsidRDefault="00E27BF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Minimum Load for</w:t>
            </w:r>
          </w:p>
        </w:tc>
      </w:tr>
      <w:tr w:rsidR="00D0756F">
        <w:trPr>
          <w:cantSplit/>
        </w:trPr>
        <w:tc>
          <w:tcPr>
            <w:tcW w:w="4200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Co-C</w:t>
            </w:r>
          </w:p>
        </w:tc>
      </w:tr>
      <w:tr w:rsidR="00D0756F">
        <w:tc>
          <w:tcPr>
            <w:tcW w:w="420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Upto Rs. 1.0 lakh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 day</w:t>
            </w:r>
          </w:p>
        </w:tc>
        <w:tc>
          <w:tcPr>
            <w:tcW w:w="1380" w:type="dxa"/>
            <w:tcBorders>
              <w:top w:val="single" w:sz="4" w:space="0" w:color="000000"/>
            </w:tcBorders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0.5 day</w:t>
            </w:r>
          </w:p>
        </w:tc>
      </w:tr>
      <w:tr w:rsidR="00D0756F">
        <w:tc>
          <w:tcPr>
            <w:tcW w:w="420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Rs. 1.0 – 5.0 lakhs</w:t>
            </w:r>
          </w:p>
        </w:tc>
        <w:tc>
          <w:tcPr>
            <w:tcW w:w="138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day</w:t>
            </w:r>
          </w:p>
        </w:tc>
        <w:tc>
          <w:tcPr>
            <w:tcW w:w="138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day</w:t>
            </w:r>
          </w:p>
        </w:tc>
      </w:tr>
      <w:tr w:rsidR="00D0756F">
        <w:tc>
          <w:tcPr>
            <w:tcW w:w="420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&gt; Rs. 5 lakhs</w:t>
            </w:r>
          </w:p>
        </w:tc>
        <w:tc>
          <w:tcPr>
            <w:tcW w:w="138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days</w:t>
            </w:r>
          </w:p>
        </w:tc>
        <w:tc>
          <w:tcPr>
            <w:tcW w:w="138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days</w:t>
            </w:r>
          </w:p>
        </w:tc>
      </w:tr>
    </w:tbl>
    <w:p w:rsidR="00D0756F" w:rsidRDefault="00D0756F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D0756F" w:rsidRDefault="00E27BF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iii) Split-up the load if the period of consultancy runs through more than one financial year. The load of consultancy in the next financial year shall be subject to a minimum of 0.5 day for each PC and Co-C.</w:t>
      </w:r>
    </w:p>
    <w:p w:rsidR="00D0756F" w:rsidRDefault="00D0756F">
      <w:pPr>
        <w:rPr>
          <w:rFonts w:ascii="Arial" w:eastAsia="Arial" w:hAnsi="Arial" w:cs="Arial"/>
          <w:sz w:val="14"/>
          <w:szCs w:val="14"/>
        </w:rPr>
      </w:pPr>
    </w:p>
    <w:p w:rsidR="00D0756F" w:rsidRDefault="00E27BF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BREAK UP OF TOTAL CHARGES</w:t>
      </w:r>
    </w:p>
    <w:tbl>
      <w:tblPr>
        <w:tblStyle w:val="a7"/>
        <w:tblW w:w="1069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4860"/>
        <w:gridCol w:w="1200"/>
        <w:gridCol w:w="1680"/>
        <w:gridCol w:w="2310"/>
      </w:tblGrid>
      <w:tr w:rsidR="00D0756F">
        <w:tc>
          <w:tcPr>
            <w:tcW w:w="645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Budget Head Description</w:t>
            </w:r>
          </w:p>
        </w:tc>
        <w:tc>
          <w:tcPr>
            <w:tcW w:w="168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Budget Code</w:t>
            </w:r>
          </w:p>
        </w:tc>
        <w:tc>
          <w:tcPr>
            <w:tcW w:w="231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Amount (Rupees)</w:t>
            </w:r>
          </w:p>
        </w:tc>
      </w:tr>
      <w:tr w:rsidR="00D0756F">
        <w:trPr>
          <w:cantSplit/>
          <w:trHeight w:val="147"/>
        </w:trPr>
        <w:tc>
          <w:tcPr>
            <w:tcW w:w="645" w:type="dxa"/>
            <w:vMerge w:val="restart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</w:t>
            </w:r>
          </w:p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EXPENSES</w:t>
            </w:r>
          </w:p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 Recurring: 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 of Consultant Man-days for Type I, II, IV &amp; V  / Honorarium of NCU Resource Persons for Type III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Honorarium to Other Staff / Outside Consultants / Outside Resource Persons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Computational Charges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and Hospitality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Consumable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Equipment/ Space Usage Charges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  <w:trHeight w:val="143"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Publicity &amp; Printing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Others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Contingency</w:t>
            </w:r>
          </w:p>
        </w:tc>
        <w:tc>
          <w:tcPr>
            <w:tcW w:w="120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rPr>
          <w:cantSplit/>
        </w:trPr>
        <w:tc>
          <w:tcPr>
            <w:tcW w:w="645" w:type="dxa"/>
            <w:vMerge/>
          </w:tcPr>
          <w:p w:rsidR="00D0756F" w:rsidRDefault="00D0756F" w:rsidP="005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Sub-Total Recurring (A)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ii) Non-Recurring: </w:t>
            </w:r>
            <w:r>
              <w:rPr>
                <w:rFonts w:ascii="Arial" w:eastAsia="Arial" w:hAnsi="Arial" w:cs="Arial"/>
                <w:sz w:val="20"/>
                <w:szCs w:val="20"/>
              </w:rPr>
              <w:t>Equipment, Materials, etc.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Fee for Scientific &amp; Technical Advice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Expenses (A+B+C)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University Overhead @ 35% of Total Expenses (D)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Consultancy Charges (D+E)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Service Tax @ 12% of F (Total Charges)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Education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Cess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@ 3% of G (Service Tax)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756F">
        <w:tc>
          <w:tcPr>
            <w:tcW w:w="645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2"/>
          </w:tcPr>
          <w:p w:rsidR="00D0756F" w:rsidRDefault="00E27BF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Gross Amount (F+G+H)</w:t>
            </w:r>
          </w:p>
        </w:tc>
        <w:tc>
          <w:tcPr>
            <w:tcW w:w="168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D0756F" w:rsidRDefault="00D0756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0756F" w:rsidRDefault="00D0756F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D0756F" w:rsidRDefault="00E27BF9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</w:t>
      </w:r>
    </w:p>
    <w:p w:rsidR="00D0756F" w:rsidRDefault="00E27BF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Signature of HOD/DOS/VC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Signature of Principal Consultant </w:t>
      </w:r>
    </w:p>
    <w:p w:rsidR="00D0756F" w:rsidRDefault="00E27BF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(DOS in case of HOD, VC in case of DOS)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Date:</w:t>
      </w:r>
    </w:p>
    <w:p w:rsidR="00D0756F" w:rsidRDefault="00E27BF9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(Kindly ensure that the given load by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Mobile:</w:t>
      </w:r>
    </w:p>
    <w:p w:rsidR="00D0756F" w:rsidRDefault="00E27BF9">
      <w:pPr>
        <w:pBdr>
          <w:bottom w:val="single" w:sz="12" w:space="1" w:color="000000"/>
        </w:pBdr>
        <w:ind w:left="0" w:hanging="2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PC / Co-C </w:t>
      </w:r>
      <w:proofErr w:type="gramStart"/>
      <w:r>
        <w:rPr>
          <w:rFonts w:ascii="Arial" w:eastAsia="Arial" w:hAnsi="Arial" w:cs="Arial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realistic &amp; not minimum)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Phone Ext:</w:t>
      </w:r>
    </w:p>
    <w:sectPr w:rsidR="00D0756F">
      <w:headerReference w:type="default" r:id="rId9"/>
      <w:footerReference w:type="default" r:id="rId10"/>
      <w:pgSz w:w="11909" w:h="16834"/>
      <w:pgMar w:top="576" w:right="864" w:bottom="576" w:left="864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C9" w:rsidRDefault="002E47C9" w:rsidP="005251FA">
      <w:pPr>
        <w:spacing w:line="240" w:lineRule="auto"/>
        <w:ind w:left="0" w:hanging="2"/>
      </w:pPr>
      <w:r>
        <w:separator/>
      </w:r>
    </w:p>
  </w:endnote>
  <w:endnote w:type="continuationSeparator" w:id="0">
    <w:p w:rsidR="002E47C9" w:rsidRDefault="002E47C9" w:rsidP="005251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d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F" w:rsidRDefault="00D075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18"/>
        <w:szCs w:val="18"/>
      </w:rPr>
    </w:pPr>
  </w:p>
  <w:tbl>
    <w:tblPr>
      <w:tblStyle w:val="a8"/>
      <w:tblW w:w="10396" w:type="dxa"/>
      <w:tblInd w:w="-2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98"/>
      <w:gridCol w:w="5198"/>
    </w:tblGrid>
    <w:tr w:rsidR="00D0756F">
      <w:tc>
        <w:tcPr>
          <w:tcW w:w="5198" w:type="dxa"/>
        </w:tcPr>
        <w:p w:rsidR="00D0756F" w:rsidRDefault="00E27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Issued by:</w:t>
          </w:r>
        </w:p>
      </w:tc>
      <w:tc>
        <w:tcPr>
          <w:tcW w:w="5198" w:type="dxa"/>
        </w:tcPr>
        <w:p w:rsidR="00D0756F" w:rsidRDefault="00E27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Approved by:</w:t>
          </w:r>
        </w:p>
      </w:tc>
    </w:tr>
    <w:tr w:rsidR="00D0756F">
      <w:tc>
        <w:tcPr>
          <w:tcW w:w="5198" w:type="dxa"/>
        </w:tcPr>
        <w:p w:rsidR="00D0756F" w:rsidRDefault="00E27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  <w:tc>
        <w:tcPr>
          <w:tcW w:w="5198" w:type="dxa"/>
        </w:tcPr>
        <w:p w:rsidR="00D0756F" w:rsidRDefault="00E27B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Date:</w:t>
          </w:r>
        </w:p>
      </w:tc>
    </w:tr>
  </w:tbl>
  <w:p w:rsidR="00D0756F" w:rsidRDefault="00D075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C9" w:rsidRDefault="002E47C9" w:rsidP="005251FA">
      <w:pPr>
        <w:spacing w:line="240" w:lineRule="auto"/>
        <w:ind w:left="0" w:hanging="2"/>
      </w:pPr>
      <w:r>
        <w:separator/>
      </w:r>
    </w:p>
  </w:footnote>
  <w:footnote w:type="continuationSeparator" w:id="0">
    <w:p w:rsidR="002E47C9" w:rsidRDefault="002E47C9" w:rsidP="005251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6F" w:rsidRDefault="00D0756F" w:rsidP="005251F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56F"/>
    <w:rsid w:val="002E47C9"/>
    <w:rsid w:val="005251FA"/>
    <w:rsid w:val="007C0374"/>
    <w:rsid w:val="0092409C"/>
    <w:rsid w:val="00AD511A"/>
    <w:rsid w:val="00CE59F9"/>
    <w:rsid w:val="00D0756F"/>
    <w:rsid w:val="00E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libri Light" w:hAnsi="Calibri Light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bidi="hi-IN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08ZGWbhRBpov/jSo1/QVvGn9A==">AMUW2mWT6sXjyvNI5ibx6CRUFrROO5B6CgkEV/Dlt3srTQmTd4fk+FEu9u/qO/2r5owXLVSP/TXrdgO+uqjaoLiZ9vCGaeeK4rjKj7D56s+WMRFkxtdZ04wCOMft9/LV41vFefAIEJ8h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B.K.Das</dc:creator>
  <cp:lastModifiedBy>cadlab2</cp:lastModifiedBy>
  <cp:revision>6</cp:revision>
  <dcterms:created xsi:type="dcterms:W3CDTF">2022-11-07T09:37:00Z</dcterms:created>
  <dcterms:modified xsi:type="dcterms:W3CDTF">2023-01-21T06:00:00Z</dcterms:modified>
</cp:coreProperties>
</file>